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7909B" w14:textId="38E1A36C"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1A723002" w14:textId="77777777" w:rsidR="00DE4F21" w:rsidRDefault="00DE4F21" w:rsidP="00DD30AD">
      <w:pPr>
        <w:rPr>
          <w:rFonts w:cs="Arial"/>
        </w:rPr>
      </w:pPr>
    </w:p>
    <w:p w14:paraId="24F15557" w14:textId="77777777" w:rsidR="00F81A3C" w:rsidRPr="006049D5" w:rsidRDefault="00F81A3C"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1A07D905"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2E5825FC" w14:textId="5FCB0DB5"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6" w:history="1">
        <w:r w:rsidRPr="002B5C82">
          <w:rPr>
            <w:rStyle w:val="Hyperlink"/>
            <w:rFonts w:cs="Arial"/>
            <w:sz w:val="22"/>
          </w:rPr>
          <w:t>here</w:t>
        </w:r>
      </w:hyperlink>
      <w:r>
        <w:rPr>
          <w:rStyle w:val="Hyperlink"/>
          <w:rFonts w:cs="Arial"/>
          <w:sz w:val="22"/>
        </w:rPr>
        <w:t>.</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3B90F44C"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w:t>
      </w:r>
      <w:r w:rsidRPr="00B810DF">
        <w:rPr>
          <w:rFonts w:cs="Arial"/>
          <w:sz w:val="22"/>
        </w:rPr>
        <w:lastRenderedPageBreak/>
        <w:t xml:space="preserve">and resources to schools to support COVID-19 measures. Schools are advised to familiarise themselves with these documents. All of the documents will be available at </w:t>
      </w:r>
      <w:hyperlink r:id="rId17" w:history="1">
        <w:r w:rsidRPr="002B5C82">
          <w:rPr>
            <w:rStyle w:val="Hyperlink"/>
            <w:rFonts w:cs="Arial"/>
            <w:b/>
            <w:sz w:val="22"/>
          </w:rPr>
          <w:t>gov.ie/backtoschool</w:t>
        </w:r>
      </w:hyperlink>
    </w:p>
    <w:p w14:paraId="6A047051" w14:textId="77777777"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47218B" w:rsidP="00B810DF">
      <w:pPr>
        <w:spacing w:line="276" w:lineRule="auto"/>
        <w:rPr>
          <w:rFonts w:cs="Arial"/>
          <w:b/>
          <w:sz w:val="22"/>
        </w:rPr>
      </w:pPr>
      <w:hyperlink r:id="rId18"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47218B" w:rsidP="006F34A2">
      <w:pPr>
        <w:spacing w:line="276" w:lineRule="auto"/>
        <w:rPr>
          <w:rFonts w:cs="Arial"/>
          <w:b/>
          <w:bCs/>
          <w:sz w:val="22"/>
        </w:rPr>
      </w:pPr>
      <w:hyperlink r:id="rId19"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20"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1"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2"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3"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6BDDE0A8" w:rsidR="004B2DD7" w:rsidRPr="006F34A2" w:rsidRDefault="000B11CD" w:rsidP="006F34A2">
            <w:pPr>
              <w:spacing w:line="276" w:lineRule="auto"/>
              <w:rPr>
                <w:rFonts w:cs="Arial"/>
                <w:sz w:val="22"/>
              </w:rPr>
            </w:pPr>
            <w:r>
              <w:rPr>
                <w:rFonts w:cs="Arial"/>
                <w:sz w:val="22"/>
              </w:rPr>
              <w:t>Bríd Garvey</w:t>
            </w:r>
          </w:p>
        </w:tc>
        <w:tc>
          <w:tcPr>
            <w:tcW w:w="3651" w:type="dxa"/>
            <w:tcBorders>
              <w:bottom w:val="single" w:sz="4" w:space="0" w:color="auto"/>
            </w:tcBorders>
          </w:tcPr>
          <w:p w14:paraId="1B0D612C" w14:textId="18C2B81D" w:rsidR="004B2DD7" w:rsidRPr="006F34A2" w:rsidRDefault="000B11CD" w:rsidP="006F34A2">
            <w:pPr>
              <w:spacing w:line="276" w:lineRule="auto"/>
              <w:rPr>
                <w:rFonts w:cs="Arial"/>
                <w:sz w:val="22"/>
              </w:rPr>
            </w:pPr>
            <w:r>
              <w:rPr>
                <w:rFonts w:cs="Arial"/>
                <w:sz w:val="22"/>
              </w:rPr>
              <w:t>093 35377</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47218B"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lastRenderedPageBreak/>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47218B" w:rsidP="006C421D">
      <w:pPr>
        <w:spacing w:after="200" w:line="276" w:lineRule="auto"/>
        <w:rPr>
          <w:rFonts w:cs="Arial"/>
          <w:sz w:val="22"/>
        </w:rPr>
      </w:pPr>
      <w:hyperlink r:id="rId25"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lastRenderedPageBreak/>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lastRenderedPageBreak/>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47218B" w:rsidP="00F833F7">
      <w:pPr>
        <w:pStyle w:val="Normal2Column"/>
        <w:rPr>
          <w:sz w:val="22"/>
        </w:rPr>
      </w:pPr>
      <w:hyperlink r:id="rId26"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47218B" w:rsidP="00F833F7">
      <w:pPr>
        <w:pStyle w:val="Normal2Column"/>
        <w:rPr>
          <w:sz w:val="22"/>
        </w:rPr>
      </w:pPr>
      <w:hyperlink r:id="rId27"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lastRenderedPageBreak/>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lastRenderedPageBreak/>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4E7BD2D3"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lastRenderedPageBreak/>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Default="00937033" w:rsidP="00FA7B62">
      <w:pPr>
        <w:spacing w:after="200" w:line="276" w:lineRule="auto"/>
        <w:rPr>
          <w:rFonts w:cs="Arial"/>
          <w:sz w:val="24"/>
          <w:szCs w:val="24"/>
        </w:rPr>
      </w:pPr>
    </w:p>
    <w:p w14:paraId="2D7E2091" w14:textId="77777777" w:rsidR="00E455F4" w:rsidRPr="00875217" w:rsidRDefault="00E455F4"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54F5CA7"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2E312F65" w14:textId="0F45A28E"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8"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9" w:history="1">
        <w:r w:rsidRPr="002B5C82">
          <w:rPr>
            <w:bCs/>
          </w:rPr>
          <w:t>gov.ie/backtoschool</w:t>
        </w:r>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112FC785"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5E8C80FD"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lastRenderedPageBreak/>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7BA03798" w14:textId="4F3D4420"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4C81C053"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8BBFE9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F233A9A" w14:textId="7F7EE160"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50BD0BEA" w14:textId="2BF19FAF"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41992A1E" w14:textId="47EEE10D"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158C0BED" w14:textId="7935D60A"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3A51041E" w14:textId="77777777" w:rsidR="00884DBC" w:rsidRDefault="00884DBC" w:rsidP="00884DBC">
      <w:pPr>
        <w:spacing w:line="276" w:lineRule="auto"/>
        <w:rPr>
          <w:rFonts w:cs="Arial"/>
          <w:b/>
          <w:bCs/>
          <w:sz w:val="22"/>
        </w:rPr>
      </w:pPr>
      <w:r w:rsidRPr="00C53494">
        <w:rPr>
          <w:rFonts w:cs="Arial"/>
          <w:b/>
          <w:bCs/>
          <w:sz w:val="22"/>
        </w:rPr>
        <w:t>Reception Areas</w:t>
      </w:r>
    </w:p>
    <w:p w14:paraId="5117BB0E" w14:textId="1995A97D"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students. Minor works funding grant can be used for this purpose. </w:t>
      </w:r>
    </w:p>
    <w:p w14:paraId="38B23EBE" w14:textId="02751080"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291DC8FB"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ECEF568" w14:textId="54BD41B9"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0BE5385B" w14:textId="65C57758"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68C95EA7"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27E3146"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10411439" w14:textId="0E34FDE9"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lastRenderedPageBreak/>
        <w:t xml:space="preserve">In certain situations the use of clear visors should be considered, for example staff interacting with pupils with hearing difficulties or learning difficulties. </w:t>
      </w:r>
    </w:p>
    <w:p w14:paraId="63804D6C"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BA1CA79"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58E1302A" w14:textId="2E22D26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52019B8A" w14:textId="784470D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22B8E6A2" w14:textId="321474F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2A74A51A" w14:textId="62BFB3A1"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7EE9E86" w14:textId="143463D3"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DB7C8E1" w14:textId="77777777" w:rsidR="002D7D5B" w:rsidRPr="005203C9" w:rsidRDefault="002D7D5B" w:rsidP="002D7D5B">
      <w:pPr>
        <w:spacing w:after="200" w:line="276" w:lineRule="auto"/>
        <w:rPr>
          <w:rStyle w:val="Hyperlink"/>
          <w:rFonts w:cs="Arial"/>
          <w:sz w:val="22"/>
        </w:rPr>
      </w:pPr>
    </w:p>
    <w:p w14:paraId="78E3CBD7" w14:textId="160C6A16"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560FE732"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B255F2D" w14:textId="77777777" w:rsidR="002D7D5B" w:rsidRDefault="0047218B" w:rsidP="002D7D5B">
      <w:pPr>
        <w:pStyle w:val="Default"/>
        <w:spacing w:after="68" w:line="276" w:lineRule="auto"/>
        <w:rPr>
          <w:rFonts w:ascii="Arial" w:hAnsi="Arial" w:cs="Arial"/>
          <w:sz w:val="22"/>
          <w:szCs w:val="22"/>
        </w:rPr>
      </w:pPr>
      <w:hyperlink r:id="rId30" w:history="1">
        <w:r w:rsidR="002D7D5B" w:rsidRPr="008543EF">
          <w:rPr>
            <w:rStyle w:val="Hyperlink"/>
            <w:rFonts w:ascii="Arial" w:hAnsi="Arial" w:cs="Arial"/>
            <w:sz w:val="22"/>
            <w:szCs w:val="22"/>
          </w:rPr>
          <w:t>https://www.gov.ie/en/publication/aac74c-guidance-on-safe-use-of-face-coverings/</w:t>
        </w:r>
      </w:hyperlink>
    </w:p>
    <w:p w14:paraId="38291ED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1C91BC42"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1DEFFDC1" w14:textId="4E608580"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030C7644"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62CBF2F" w14:textId="00ACC514"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F112E62"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0F7B7DF" w14:textId="328B7FFA"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3A55A3AE"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0E80ECE3"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689E0631" w14:textId="77777777" w:rsidR="00F3169A" w:rsidRPr="00A76D3E" w:rsidRDefault="00F3169A" w:rsidP="00FA7B62">
      <w:pPr>
        <w:spacing w:after="200" w:line="276" w:lineRule="auto"/>
        <w:rPr>
          <w:rFonts w:cs="Arial"/>
          <w:b/>
          <w:sz w:val="22"/>
        </w:rPr>
      </w:pPr>
      <w:r w:rsidRPr="00A76D3E">
        <w:rPr>
          <w:rFonts w:cs="Arial"/>
          <w:b/>
          <w:sz w:val="22"/>
        </w:rPr>
        <w:lastRenderedPageBreak/>
        <w:t>Gloves</w:t>
      </w:r>
    </w:p>
    <w:p w14:paraId="11606676" w14:textId="69871B9B"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61E09498" w:rsidR="00F849CE" w:rsidRPr="00C54A90" w:rsidRDefault="00C54A90" w:rsidP="00FA7B62">
      <w:pPr>
        <w:spacing w:after="200" w:line="276" w:lineRule="auto"/>
        <w:rPr>
          <w:rFonts w:cs="Arial"/>
          <w:b/>
          <w:sz w:val="24"/>
          <w:szCs w:val="24"/>
        </w:rPr>
      </w:pPr>
      <w:r w:rsidRPr="00C54A90">
        <w:rPr>
          <w:rFonts w:cs="Arial"/>
          <w:b/>
          <w:sz w:val="24"/>
          <w:szCs w:val="24"/>
        </w:rPr>
        <w:t>Aprons</w:t>
      </w:r>
    </w:p>
    <w:p w14:paraId="7C8A54B5" w14:textId="56AF1D64"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47218B" w:rsidP="00FA7B62">
      <w:pPr>
        <w:spacing w:after="200" w:line="276" w:lineRule="auto"/>
        <w:ind w:left="66"/>
        <w:rPr>
          <w:rFonts w:cs="Arial"/>
          <w:sz w:val="22"/>
        </w:rPr>
      </w:pPr>
      <w:hyperlink r:id="rId31"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lastRenderedPageBreak/>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wipeable plastic covering that can be wiped with a </w:t>
      </w:r>
      <w:r w:rsidRPr="00586877">
        <w:rPr>
          <w:rFonts w:cs="Arial"/>
          <w:sz w:val="22"/>
        </w:rPr>
        <w:lastRenderedPageBreak/>
        <w:t>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lastRenderedPageBreak/>
        <w:t xml:space="preserve">The room should be cleaned as soon as </w:t>
      </w:r>
      <w:r w:rsidR="00804576" w:rsidRPr="000F64EC">
        <w:t xml:space="preserve">practicably </w:t>
      </w:r>
      <w:r w:rsidRPr="000F64EC">
        <w:t>possible.</w:t>
      </w:r>
    </w:p>
    <w:p w14:paraId="3D733EA3"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0936C81D"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15A7AC4C"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5C899615"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254F7F7E"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75DAD2C5" w14:textId="0A1359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66D4D323"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73A4F42A"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 xml:space="preserve">m away </w:t>
      </w:r>
      <w:r w:rsidRPr="00CB73B0">
        <w:rPr>
          <w:rFonts w:ascii="Arial" w:hAnsi="Arial" w:cs="Arial"/>
          <w:lang w:eastAsia="zh-CN"/>
        </w:rPr>
        <w:lastRenderedPageBreak/>
        <w:t>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1A37E712"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FC83AA3"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6F7E6C3C" w14:textId="5B97372C"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600B1EB9" w14:textId="0EC2B5E8"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25A692D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025B668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0779BDB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646EBE9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0792736D" w14:textId="235BEC2B"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lastRenderedPageBreak/>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lastRenderedPageBreak/>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2"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4F8D787D" w:rsidR="00AF5D55" w:rsidRPr="006316DB" w:rsidRDefault="00DB4710" w:rsidP="006316DB">
      <w:pPr>
        <w:spacing w:line="276" w:lineRule="auto"/>
        <w:rPr>
          <w:rFonts w:cs="Arial"/>
          <w:sz w:val="22"/>
        </w:rPr>
      </w:pPr>
      <w:r w:rsidRPr="00DB4710">
        <w:rPr>
          <w:rFonts w:cs="Arial"/>
          <w:color w:val="auto"/>
          <w:sz w:val="22"/>
        </w:rPr>
        <w:t>Muire na Dea Chomhairle N.S</w:t>
      </w:r>
      <w:r w:rsidR="00AF5D55" w:rsidRPr="00DB4710">
        <w:rPr>
          <w:rFonts w:cs="Arial"/>
          <w:color w:val="auto"/>
          <w:sz w:val="22"/>
        </w:rPr>
        <w:t xml:space="preserve">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3"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4"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lastRenderedPageBreak/>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5"/>
          <w:headerReference w:type="default" r:id="rId36"/>
          <w:footerReference w:type="even" r:id="rId37"/>
          <w:footerReference w:type="default" r:id="rId38"/>
          <w:headerReference w:type="first" r:id="rId39"/>
          <w:footerReference w:type="first" r:id="rId40"/>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2B5C82" w:rsidRDefault="002B5C8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2B5C82" w:rsidRDefault="002B5C8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41"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42"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3"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4"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5"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6"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CD2E8" w14:textId="77777777" w:rsidR="0047218B" w:rsidRDefault="0047218B">
      <w:pPr>
        <w:spacing w:after="0" w:line="240" w:lineRule="auto"/>
      </w:pPr>
      <w:r>
        <w:separator/>
      </w:r>
    </w:p>
    <w:p w14:paraId="704419CC" w14:textId="77777777" w:rsidR="0047218B" w:rsidRDefault="0047218B"/>
  </w:endnote>
  <w:endnote w:type="continuationSeparator" w:id="0">
    <w:p w14:paraId="0007AD8B" w14:textId="77777777" w:rsidR="0047218B" w:rsidRDefault="0047218B">
      <w:pPr>
        <w:spacing w:after="0" w:line="240" w:lineRule="auto"/>
      </w:pPr>
      <w:r>
        <w:continuationSeparator/>
      </w:r>
    </w:p>
    <w:p w14:paraId="4199665E" w14:textId="77777777" w:rsidR="0047218B" w:rsidRDefault="00472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2B5C82" w:rsidRDefault="002B5C8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2B5C82" w:rsidRDefault="002B5C82" w:rsidP="005B5C2B">
    <w:pPr>
      <w:pStyle w:val="Footer"/>
      <w:ind w:firstLine="360"/>
      <w:rPr>
        <w:rStyle w:val="PageNumber"/>
      </w:rPr>
    </w:pPr>
  </w:p>
  <w:p w14:paraId="35A9D54E" w14:textId="77777777" w:rsidR="002B5C82" w:rsidRDefault="002B5C82" w:rsidP="00335CDC">
    <w:pPr>
      <w:pStyle w:val="Footer"/>
    </w:pPr>
  </w:p>
  <w:p w14:paraId="4F68EAA6" w14:textId="77777777" w:rsidR="002B5C82" w:rsidRDefault="002B5C82"/>
  <w:p w14:paraId="06FECFEE" w14:textId="77777777" w:rsidR="002B5C82" w:rsidRDefault="002B5C82"/>
  <w:p w14:paraId="787B86F8" w14:textId="77777777" w:rsidR="002B5C82" w:rsidRDefault="002B5C82"/>
  <w:p w14:paraId="35F5CA10" w14:textId="77777777" w:rsidR="002B5C82" w:rsidRDefault="002B5C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2B5C82" w:rsidRPr="005B5C2B" w:rsidRDefault="002B5C82"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46FA5390" w:rsidR="002B5C82" w:rsidRDefault="002B5C8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182572">
      <w:rPr>
        <w:rStyle w:val="PageNumber"/>
        <w:noProof/>
      </w:rPr>
      <w:t>50</w:t>
    </w:r>
    <w:r>
      <w:rPr>
        <w:rStyle w:val="PageNumber"/>
      </w:rPr>
      <w:fldChar w:fldCharType="end"/>
    </w:r>
  </w:p>
  <w:p w14:paraId="7F7CF0D6" w14:textId="77777777" w:rsidR="002B5C82" w:rsidRDefault="002B5C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7DA9ADBD" w:rsidR="002B5C82" w:rsidRPr="00D76841" w:rsidRDefault="002B5C82" w:rsidP="00CB1F2A">
    <w:pPr>
      <w:pStyle w:val="EndorsementText"/>
    </w:pPr>
    <w:r>
      <w:t>V2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05FF" w14:textId="77777777" w:rsidR="0047218B" w:rsidRDefault="0047218B">
      <w:pPr>
        <w:spacing w:after="0" w:line="240" w:lineRule="auto"/>
      </w:pPr>
      <w:r>
        <w:separator/>
      </w:r>
    </w:p>
    <w:p w14:paraId="2841F722" w14:textId="77777777" w:rsidR="0047218B" w:rsidRDefault="0047218B"/>
  </w:footnote>
  <w:footnote w:type="continuationSeparator" w:id="0">
    <w:p w14:paraId="2E893211" w14:textId="77777777" w:rsidR="0047218B" w:rsidRDefault="0047218B">
      <w:pPr>
        <w:spacing w:after="0" w:line="240" w:lineRule="auto"/>
      </w:pPr>
      <w:r>
        <w:continuationSeparator/>
      </w:r>
    </w:p>
    <w:p w14:paraId="60527D95" w14:textId="77777777" w:rsidR="0047218B" w:rsidRDefault="00472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2B5C82" w:rsidRDefault="002B5C82">
    <w:pPr>
      <w:pStyle w:val="Header"/>
    </w:pPr>
  </w:p>
  <w:p w14:paraId="70237948" w14:textId="77777777" w:rsidR="002B5C82" w:rsidRDefault="002B5C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406" w14:textId="668A74A2" w:rsidR="002B5C82" w:rsidRPr="004D604C" w:rsidRDefault="002B5C82"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8D4E" w14:textId="4CB74829" w:rsidR="002B5C82" w:rsidRDefault="002B5C82">
    <w:pPr>
      <w:pStyle w:val="Header"/>
    </w:pPr>
    <w:r>
      <w:rPr>
        <w:noProof/>
        <w:lang w:eastAsia="en-IE"/>
      </w:rPr>
      <w:drawing>
        <wp:inline distT="0" distB="0" distL="0" distR="0" wp14:anchorId="60D81E99" wp14:editId="4EA28AE5">
          <wp:extent cx="24193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6E6F16A5" wp14:editId="72D96863">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6"/>
  </w:num>
  <w:num w:numId="6">
    <w:abstractNumId w:val="5"/>
  </w:num>
  <w:num w:numId="7">
    <w:abstractNumId w:val="18"/>
  </w:num>
  <w:num w:numId="8">
    <w:abstractNumId w:val="9"/>
  </w:num>
  <w:num w:numId="9">
    <w:abstractNumId w:val="22"/>
  </w:num>
  <w:num w:numId="10">
    <w:abstractNumId w:val="35"/>
  </w:num>
  <w:num w:numId="11">
    <w:abstractNumId w:val="44"/>
  </w:num>
  <w:num w:numId="12">
    <w:abstractNumId w:val="19"/>
  </w:num>
  <w:num w:numId="13">
    <w:abstractNumId w:val="4"/>
  </w:num>
  <w:num w:numId="14">
    <w:abstractNumId w:val="26"/>
  </w:num>
  <w:num w:numId="15">
    <w:abstractNumId w:val="2"/>
  </w:num>
  <w:num w:numId="16">
    <w:abstractNumId w:val="33"/>
  </w:num>
  <w:num w:numId="17">
    <w:abstractNumId w:val="30"/>
  </w:num>
  <w:num w:numId="18">
    <w:abstractNumId w:val="43"/>
  </w:num>
  <w:num w:numId="19">
    <w:abstractNumId w:val="32"/>
  </w:num>
  <w:num w:numId="20">
    <w:abstractNumId w:val="41"/>
  </w:num>
  <w:num w:numId="21">
    <w:abstractNumId w:val="23"/>
  </w:num>
  <w:num w:numId="22">
    <w:abstractNumId w:val="27"/>
  </w:num>
  <w:num w:numId="23">
    <w:abstractNumId w:val="42"/>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7"/>
  </w:num>
  <w:num w:numId="34">
    <w:abstractNumId w:val="15"/>
  </w:num>
  <w:num w:numId="35">
    <w:abstractNumId w:val="31"/>
  </w:num>
  <w:num w:numId="36">
    <w:abstractNumId w:val="28"/>
  </w:num>
  <w:num w:numId="37">
    <w:abstractNumId w:val="12"/>
  </w:num>
  <w:num w:numId="38">
    <w:abstractNumId w:val="24"/>
  </w:num>
  <w:num w:numId="39">
    <w:abstractNumId w:val="40"/>
  </w:num>
  <w:num w:numId="40">
    <w:abstractNumId w:val="36"/>
  </w:num>
  <w:num w:numId="41">
    <w:abstractNumId w:val="6"/>
  </w:num>
  <w:num w:numId="42">
    <w:abstractNumId w:val="10"/>
  </w:num>
  <w:num w:numId="43">
    <w:abstractNumId w:val="38"/>
  </w:num>
  <w:num w:numId="44">
    <w:abstractNumId w:val="8"/>
  </w:num>
  <w:num w:numId="45">
    <w:abstractNumId w:val="34"/>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11CD"/>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16DD6"/>
    <w:rsid w:val="00121501"/>
    <w:rsid w:val="00122ECA"/>
    <w:rsid w:val="00131EDB"/>
    <w:rsid w:val="00145264"/>
    <w:rsid w:val="00152C7E"/>
    <w:rsid w:val="00153A7A"/>
    <w:rsid w:val="001552E8"/>
    <w:rsid w:val="00155EA5"/>
    <w:rsid w:val="00157141"/>
    <w:rsid w:val="001576AA"/>
    <w:rsid w:val="00182572"/>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45D"/>
    <w:rsid w:val="00434D21"/>
    <w:rsid w:val="00441DC0"/>
    <w:rsid w:val="00453235"/>
    <w:rsid w:val="00462B4A"/>
    <w:rsid w:val="00463FFC"/>
    <w:rsid w:val="0047218B"/>
    <w:rsid w:val="00476B67"/>
    <w:rsid w:val="00477FD6"/>
    <w:rsid w:val="0048391D"/>
    <w:rsid w:val="004933A5"/>
    <w:rsid w:val="004A0F0D"/>
    <w:rsid w:val="004A5070"/>
    <w:rsid w:val="004B2DD7"/>
    <w:rsid w:val="004B3274"/>
    <w:rsid w:val="004C4FC9"/>
    <w:rsid w:val="004C6F87"/>
    <w:rsid w:val="004D042E"/>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4584"/>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7E68"/>
    <w:rsid w:val="00865251"/>
    <w:rsid w:val="00875217"/>
    <w:rsid w:val="00884DBC"/>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7DC"/>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2039F"/>
    <w:rsid w:val="00D20786"/>
    <w:rsid w:val="00D26C0C"/>
    <w:rsid w:val="00D2769B"/>
    <w:rsid w:val="00D36A7C"/>
    <w:rsid w:val="00D37086"/>
    <w:rsid w:val="00D37BEB"/>
    <w:rsid w:val="00D45225"/>
    <w:rsid w:val="00D52F93"/>
    <w:rsid w:val="00D61CB7"/>
    <w:rsid w:val="00D668A6"/>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B4710"/>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gov.ie/en/publication/dd7fb-induction-training-for-reopening-schools/" TargetMode="External"/><Relationship Id="rId26" Type="http://schemas.openxmlformats.org/officeDocument/2006/relationships/hyperlink" Target="https://s3-eu-west-1.amazonaws.com/govieassets/82023/7612d390-4a73-4afb-ba06-5d1c41bd5a0a.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34" Type="http://schemas.openxmlformats.org/officeDocument/2006/relationships/hyperlink" Target="https://www.gov.ie/en/news/092fff-update-on-working-arrangements-and-leave-associated-with-covid-19-fo/" TargetMode="External"/><Relationship Id="rId42" Type="http://schemas.openxmlformats.org/officeDocument/2006/relationships/hyperlink" Target="https://www2.hse.ie/conditions/coronavirus/symptoms.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www.gov.ie/backtoschool" TargetMode="External"/><Relationship Id="rId25" Type="http://schemas.openxmlformats.org/officeDocument/2006/relationships/hyperlink" Target="https://www2.hse.ie/wellbeing/how-to-wash-your-hands.html" TargetMode="External"/><Relationship Id="rId33" Type="http://schemas.openxmlformats.org/officeDocument/2006/relationships/hyperlink" Target="https://www.gov.ie/en/publication/22829a-return-to-work-safely-protocol/" TargetMode="External"/><Relationship Id="rId38" Type="http://schemas.openxmlformats.org/officeDocument/2006/relationships/footer" Target="footer2.xml"/><Relationship Id="rId46" Type="http://schemas.openxmlformats.org/officeDocument/2006/relationships/hyperlink" Target="https://www2.hse.ie/conditions/coronavirus/how-coronavirus-is-spread.html" TargetMode="External"/><Relationship Id="rId2" Type="http://schemas.openxmlformats.org/officeDocument/2006/relationships/numbering" Target="numbering.xml"/><Relationship Id="rId16" Type="http://schemas.openxmlformats.org/officeDocument/2006/relationships/hyperlink" Target="https://assets.gov.ie/83506/86fba2a7-26da-4c19-bce3-b0d01aaaf59b.pdf" TargetMode="External"/><Relationship Id="rId20" Type="http://schemas.openxmlformats.org/officeDocument/2006/relationships/hyperlink" Target="https://www2.hse.ie/conditions/coronavirus/cancer-patients.html" TargetMode="External"/><Relationship Id="rId29" Type="http://schemas.openxmlformats.org/officeDocument/2006/relationships/hyperlink" Target="http://www.gov.ie/backtoschool" TargetMode="External"/><Relationship Id="rId41" Type="http://schemas.openxmlformats.org/officeDocument/2006/relationships/hyperlink" Target="https://www2.hse.ie/conditions/coronavirus/people-at-higher-ris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www.education.ie/en/Education-Staff/Information/Occupational-Health-Strategy/"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www2.hse.ie/conditions/coronavirus/symptoms.html"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weak-immune-system.html" TargetMode="External"/><Relationship Id="rId28" Type="http://schemas.openxmlformats.org/officeDocument/2006/relationships/hyperlink" Target="https://assets.gov.ie/83497/d48ade18-daa1-4610-9390-46e7312a9831.pdf" TargetMode="External"/><Relationship Id="rId36" Type="http://schemas.openxmlformats.org/officeDocument/2006/relationships/header" Target="header2.xml"/><Relationship Id="rId10" Type="http://schemas.openxmlformats.org/officeDocument/2006/relationships/hyperlink" Target="http://www.dbei.ie" TargetMode="External"/><Relationship Id="rId19" Type="http://schemas.openxmlformats.org/officeDocument/2006/relationships/hyperlink" Target="https://www2.hse.ie/conditions/coronavirus/people-at-higher-risk.html" TargetMode="External"/><Relationship Id="rId31" Type="http://schemas.openxmlformats.org/officeDocument/2006/relationships/hyperlink" Target="https://www.gov.ie/en/publication/07253-return-to-sport-protocols/" TargetMode="External"/><Relationship Id="rId44" Type="http://schemas.openxmlformats.org/officeDocument/2006/relationships/hyperlink" Target="https://www.gov.ie/en/collection/ee0781-covid-19-posters-for-public-use/"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opd.html" TargetMode="External"/><Relationship Id="rId27" Type="http://schemas.openxmlformats.org/officeDocument/2006/relationships/hyperlink" Target="https://s3-eu-west-1.amazonaws.com/govieassets/81948/36874b14-f604-4966-b8c8-bc2954b73bbd.pdf" TargetMode="External"/><Relationship Id="rId30" Type="http://schemas.openxmlformats.org/officeDocument/2006/relationships/hyperlink" Target="https://www.gov.ie/en/publication/aac74c-guidance-on-safe-use-of-face-coverings/" TargetMode="External"/><Relationship Id="rId35" Type="http://schemas.openxmlformats.org/officeDocument/2006/relationships/header" Target="header1.xml"/><Relationship Id="rId43" Type="http://schemas.openxmlformats.org/officeDocument/2006/relationships/hyperlink" Target="https://www2.hse.ie/wellbeing/how-to-wash-your-hands.html" TargetMode="Externa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4E61DF-05E6-4CFD-A437-97AF6DF9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13902</Words>
  <Characters>79247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2020-09-14T09:14:00Z</dcterms:created>
  <dcterms:modified xsi:type="dcterms:W3CDTF">2020-09-14T09:14:00Z</dcterms:modified>
</cp:coreProperties>
</file>